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8CA0A">
      <w:r>
        <w:rPr>
          <w:rFonts w:hint="eastAsia"/>
          <w:b/>
          <w:bCs/>
        </w:rPr>
        <w:t>财务软件</w:t>
      </w:r>
      <w:r>
        <w:rPr>
          <w:b/>
          <w:bCs/>
        </w:rPr>
        <w:t>评标办法及评分规则</w:t>
      </w:r>
    </w:p>
    <w:p w14:paraId="5A3BC1FD">
      <w:r>
        <w:rPr>
          <w:b/>
          <w:bCs/>
        </w:rPr>
        <w:t>综合评分法</w:t>
      </w:r>
    </w:p>
    <w:p w14:paraId="418DF761">
      <w:r>
        <w:rPr>
          <w:b/>
          <w:bCs/>
        </w:rPr>
        <w:t>1、评审原则</w:t>
      </w:r>
      <w:r>
        <w:br w:type="textWrapping"/>
      </w:r>
      <w:r>
        <w:t>1.1 合法、合规原则。</w:t>
      </w:r>
      <w:r>
        <w:br w:type="textWrapping"/>
      </w:r>
      <w:r>
        <w:t>1.2 公平、公正、科学、审慎、择优原则。</w:t>
      </w:r>
      <w:r>
        <w:br w:type="textWrapping"/>
      </w:r>
      <w:r>
        <w:t>1.3 高分优先原则。衡量投标文件满足招标文件规定各项评审标准的程度，折算为综合得分分值，依据每个投标人的综合得分由高到低，依次确定排名顺序。</w:t>
      </w:r>
    </w:p>
    <w:p w14:paraId="7E58105D">
      <w:r>
        <w:rPr>
          <w:b/>
          <w:bCs/>
        </w:rPr>
        <w:t>2、评审分值分配（满分100分）</w:t>
      </w:r>
      <w:r>
        <w:br w:type="textWrapping"/>
      </w:r>
      <w:r>
        <w:t>2.1 商务标（</w:t>
      </w:r>
      <w:r>
        <w:rPr>
          <w:rFonts w:hint="eastAsia"/>
        </w:rPr>
        <w:t>75</w:t>
      </w:r>
      <w:r>
        <w:t>分）</w:t>
      </w:r>
      <w:r>
        <w:br w:type="textWrapping"/>
      </w:r>
      <w:r>
        <w:t>2.2 技术标（</w:t>
      </w:r>
      <w:r>
        <w:rPr>
          <w:rFonts w:hint="eastAsia"/>
        </w:rPr>
        <w:t>25</w:t>
      </w:r>
      <w:r>
        <w:t>分）</w:t>
      </w:r>
    </w:p>
    <w:p w14:paraId="1378AE9B">
      <w:r>
        <w:rPr>
          <w:b/>
          <w:bCs/>
        </w:rPr>
        <w:t>3、评审内容（数值计算结果均保留两位小数，第三位四舍五入）</w:t>
      </w:r>
    </w:p>
    <w:p w14:paraId="17CF3CAA">
      <w:r>
        <w:rPr>
          <w:rFonts w:hint="eastAsia"/>
        </w:rPr>
        <w:t>3.1</w:t>
      </w:r>
      <w:r>
        <w:t>商务标评审内容及标准（</w:t>
      </w:r>
      <w:r>
        <w:rPr>
          <w:rFonts w:hint="eastAsia"/>
        </w:rPr>
        <w:t>75</w:t>
      </w:r>
      <w:r>
        <w:t>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99"/>
        <w:gridCol w:w="817"/>
        <w:gridCol w:w="6930"/>
      </w:tblGrid>
      <w:tr w14:paraId="360D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6" w:hRule="atLeast"/>
          <w:tblHeader/>
        </w:trPr>
        <w:tc>
          <w:tcPr>
            <w:tcW w:w="0" w:type="auto"/>
            <w:tcMar>
              <w:top w:w="150" w:type="dxa"/>
              <w:left w:w="0" w:type="dxa"/>
              <w:bottom w:w="150" w:type="dxa"/>
              <w:right w:w="240" w:type="dxa"/>
            </w:tcMar>
            <w:vAlign w:val="center"/>
          </w:tcPr>
          <w:p w14:paraId="0456FCC2">
            <w:r>
              <w:t>评审项目</w:t>
            </w:r>
          </w:p>
        </w:tc>
        <w:tc>
          <w:tcPr>
            <w:tcW w:w="0" w:type="auto"/>
            <w:tcMar>
              <w:top w:w="150" w:type="dxa"/>
              <w:left w:w="240" w:type="dxa"/>
              <w:bottom w:w="150" w:type="dxa"/>
              <w:right w:w="240" w:type="dxa"/>
            </w:tcMar>
            <w:vAlign w:val="center"/>
          </w:tcPr>
          <w:p w14:paraId="182B5E65">
            <w:r>
              <w:t>分值</w:t>
            </w:r>
          </w:p>
        </w:tc>
        <w:tc>
          <w:tcPr>
            <w:tcW w:w="0" w:type="auto"/>
            <w:tcMar>
              <w:top w:w="150" w:type="dxa"/>
              <w:left w:w="240" w:type="dxa"/>
              <w:bottom w:w="150" w:type="dxa"/>
              <w:right w:w="240" w:type="dxa"/>
            </w:tcMar>
            <w:vAlign w:val="center"/>
          </w:tcPr>
          <w:p w14:paraId="52D0F9D8">
            <w:r>
              <w:t>评 分 标 准</w:t>
            </w:r>
          </w:p>
        </w:tc>
      </w:tr>
      <w:tr w14:paraId="594E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6A47706">
            <w:r>
              <w:rPr>
                <w:b/>
                <w:bCs/>
              </w:rPr>
              <w:t>投标报价</w:t>
            </w:r>
          </w:p>
        </w:tc>
        <w:tc>
          <w:tcPr>
            <w:tcW w:w="0" w:type="auto"/>
            <w:tcMar>
              <w:top w:w="150" w:type="dxa"/>
              <w:left w:w="240" w:type="dxa"/>
              <w:bottom w:w="150" w:type="dxa"/>
              <w:right w:w="240" w:type="dxa"/>
            </w:tcMar>
            <w:vAlign w:val="center"/>
          </w:tcPr>
          <w:p w14:paraId="2E770A28">
            <w:r>
              <w:rPr>
                <w:rFonts w:hint="eastAsia"/>
              </w:rPr>
              <w:t>60</w:t>
            </w:r>
            <w:r>
              <w:t>分</w:t>
            </w:r>
          </w:p>
        </w:tc>
        <w:tc>
          <w:tcPr>
            <w:tcW w:w="0" w:type="auto"/>
            <w:tcMar>
              <w:top w:w="150" w:type="dxa"/>
              <w:left w:w="240" w:type="dxa"/>
              <w:bottom w:w="150" w:type="dxa"/>
              <w:right w:w="0" w:type="dxa"/>
            </w:tcMar>
            <w:vAlign w:val="center"/>
          </w:tcPr>
          <w:p w14:paraId="27CD665E">
            <w:r>
              <w:rPr>
                <w:b/>
                <w:bCs/>
              </w:rPr>
              <w:t>评标基准价定义：</w:t>
            </w:r>
            <w:r>
              <w:t> </w:t>
            </w:r>
            <w:r>
              <w:rPr>
                <w:rFonts w:hint="eastAsia" w:ascii="等线" w:hAnsi="等线" w:eastAsia="等线" w:cs="等线"/>
                <w:szCs w:val="22"/>
              </w:rPr>
              <w:t>根据各投标人通过符合资格审查的有效投标报价中的算术平均价作为评标基准价，其价格分为满分。（计算到小数点后二位）</w:t>
            </w:r>
          </w:p>
          <w:p w14:paraId="0DDCE2B8">
            <w:pPr>
              <w:spacing w:line="400" w:lineRule="exact"/>
              <w:rPr>
                <w:rFonts w:ascii="等线" w:hAnsi="等线" w:eastAsia="等线" w:cs="等线"/>
                <w:bCs/>
                <w:szCs w:val="22"/>
              </w:rPr>
            </w:pPr>
            <w:r>
              <w:rPr>
                <w:rFonts w:hint="eastAsia" w:ascii="等线" w:hAnsi="等线" w:eastAsia="等线" w:cs="等线"/>
                <w:bCs/>
                <w:szCs w:val="22"/>
              </w:rPr>
              <w:t>1、偏差率=（投标人报价－评标基准价）/评标基准价*100%</w:t>
            </w:r>
          </w:p>
          <w:p w14:paraId="6DF253A7">
            <w:pPr>
              <w:spacing w:line="400" w:lineRule="exact"/>
              <w:rPr>
                <w:rFonts w:ascii="等线" w:hAnsi="等线" w:eastAsia="等线" w:cs="等线"/>
                <w:bCs/>
                <w:szCs w:val="22"/>
              </w:rPr>
            </w:pPr>
            <w:r>
              <w:rPr>
                <w:rFonts w:hint="eastAsia" w:ascii="等线" w:hAnsi="等线" w:eastAsia="等线" w:cs="等线"/>
                <w:bCs/>
                <w:szCs w:val="22"/>
              </w:rPr>
              <w:t>2、报价得分</w:t>
            </w:r>
          </w:p>
          <w:p w14:paraId="04803152">
            <w:pPr>
              <w:spacing w:line="400" w:lineRule="exact"/>
              <w:rPr>
                <w:rFonts w:ascii="等线" w:hAnsi="等线" w:eastAsia="等线" w:cs="等线"/>
                <w:bCs/>
                <w:szCs w:val="22"/>
              </w:rPr>
            </w:pPr>
            <w:r>
              <w:rPr>
                <w:rFonts w:hint="eastAsia" w:ascii="等线" w:hAnsi="等线" w:eastAsia="等线" w:cs="等线"/>
                <w:bCs/>
                <w:szCs w:val="22"/>
              </w:rPr>
              <w:t>报价得分计算公式：</w:t>
            </w:r>
          </w:p>
          <w:p w14:paraId="44F0CFCF">
            <w:pPr>
              <w:spacing w:line="400" w:lineRule="exact"/>
              <w:rPr>
                <w:rFonts w:ascii="等线" w:hAnsi="等线" w:eastAsia="等线" w:cs="等线"/>
                <w:bCs/>
                <w:szCs w:val="22"/>
              </w:rPr>
            </w:pPr>
            <w:r>
              <w:rPr>
                <w:rFonts w:hint="eastAsia" w:ascii="等线" w:hAnsi="等线" w:eastAsia="等线" w:cs="等线"/>
                <w:bCs/>
                <w:szCs w:val="22"/>
              </w:rPr>
              <w:t>如果投标人的评标价＞评标基准价，则评标价得分=60-偏差率*100*0.4；</w:t>
            </w:r>
          </w:p>
          <w:p w14:paraId="65611ACE">
            <w:r>
              <w:rPr>
                <w:rFonts w:hint="eastAsia" w:ascii="等线" w:hAnsi="等线" w:eastAsia="等线" w:cs="等线"/>
                <w:bCs/>
                <w:szCs w:val="22"/>
              </w:rPr>
              <w:t>如果投标人的评标价≤评标基准价，则评标价得分=60+偏差率*100*0.2；</w:t>
            </w:r>
          </w:p>
        </w:tc>
      </w:tr>
      <w:tr w14:paraId="6501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7017DEF">
            <w:r>
              <w:rPr>
                <w:b/>
                <w:bCs/>
              </w:rPr>
              <w:t>供应商业绩</w:t>
            </w:r>
          </w:p>
        </w:tc>
        <w:tc>
          <w:tcPr>
            <w:tcW w:w="0" w:type="auto"/>
            <w:tcMar>
              <w:top w:w="150" w:type="dxa"/>
              <w:left w:w="240" w:type="dxa"/>
              <w:bottom w:w="150" w:type="dxa"/>
              <w:right w:w="240" w:type="dxa"/>
            </w:tcMar>
            <w:vAlign w:val="center"/>
          </w:tcPr>
          <w:p w14:paraId="7F490D84">
            <w:r>
              <w:rPr>
                <w:rFonts w:hint="eastAsia"/>
              </w:rPr>
              <w:t>15</w:t>
            </w:r>
            <w:r>
              <w:t>分</w:t>
            </w:r>
          </w:p>
        </w:tc>
        <w:tc>
          <w:tcPr>
            <w:tcW w:w="0" w:type="auto"/>
            <w:tcMar>
              <w:top w:w="150" w:type="dxa"/>
              <w:left w:w="240" w:type="dxa"/>
              <w:bottom w:w="150" w:type="dxa"/>
              <w:right w:w="0" w:type="dxa"/>
            </w:tcMar>
            <w:vAlign w:val="center"/>
          </w:tcPr>
          <w:p w14:paraId="30987D09">
            <w:r>
              <w:t>投标人自2022年1月1日以来（以合同签订时间为准），每提供一个</w:t>
            </w:r>
            <w:r>
              <w:rPr>
                <w:rFonts w:hint="eastAsia"/>
              </w:rPr>
              <w:t>企业</w:t>
            </w:r>
            <w:r>
              <w:rPr>
                <w:rFonts w:hint="eastAsia"/>
                <w:lang w:val="en-US" w:eastAsia="zh-CN"/>
              </w:rPr>
              <w:t>或</w:t>
            </w:r>
            <w:r>
              <w:t>酒店行业财务软件成功实施案例的，得</w:t>
            </w:r>
            <w:r>
              <w:rPr>
                <w:rFonts w:hint="eastAsia"/>
              </w:rPr>
              <w:t>3</w:t>
            </w:r>
            <w:r>
              <w:t>分。本项最高得</w:t>
            </w:r>
            <w:r>
              <w:rPr>
                <w:rFonts w:hint="eastAsia"/>
              </w:rPr>
              <w:t>15</w:t>
            </w:r>
            <w:r>
              <w:t>分。</w:t>
            </w:r>
            <w:r>
              <w:br w:type="textWrapping"/>
            </w:r>
            <w:r>
              <w:rPr>
                <w:b/>
                <w:bCs/>
              </w:rPr>
              <w:t>注：</w:t>
            </w:r>
            <w:r>
              <w:t> 须同时提供合同关键页（含合同双方、标的</w:t>
            </w:r>
            <w:r>
              <w:rPr>
                <w:rFonts w:hint="eastAsia"/>
              </w:rPr>
              <w:t>信息</w:t>
            </w:r>
            <w:r>
              <w:t>、金额、签订日期、签字盖章页）扫描件及验收证明扫描件。证明材料须清晰可辨，否则评标委员会不予认可。</w:t>
            </w:r>
          </w:p>
        </w:tc>
      </w:tr>
    </w:tbl>
    <w:p w14:paraId="08A3BD4C">
      <w:r>
        <w:t>3.</w:t>
      </w:r>
      <w:r>
        <w:rPr>
          <w:rFonts w:hint="eastAsia"/>
        </w:rPr>
        <w:t>2</w:t>
      </w:r>
      <w:r>
        <w:t xml:space="preserve"> 技术标评审内容及标准（</w:t>
      </w:r>
      <w:r>
        <w:rPr>
          <w:rFonts w:hint="eastAsia"/>
        </w:rPr>
        <w:t>25</w:t>
      </w:r>
      <w:r>
        <w:t>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34"/>
        <w:gridCol w:w="1250"/>
        <w:gridCol w:w="810"/>
        <w:gridCol w:w="5952"/>
      </w:tblGrid>
      <w:tr w14:paraId="41EF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534" w:type="dxa"/>
            <w:tcMar>
              <w:top w:w="150" w:type="dxa"/>
              <w:left w:w="0" w:type="dxa"/>
              <w:bottom w:w="150" w:type="dxa"/>
              <w:right w:w="240" w:type="dxa"/>
            </w:tcMar>
            <w:vAlign w:val="center"/>
          </w:tcPr>
          <w:p w14:paraId="0CA1C63C">
            <w:r>
              <w:t>序号</w:t>
            </w:r>
          </w:p>
        </w:tc>
        <w:tc>
          <w:tcPr>
            <w:tcW w:w="1250" w:type="dxa"/>
            <w:tcMar>
              <w:top w:w="150" w:type="dxa"/>
              <w:left w:w="240" w:type="dxa"/>
              <w:bottom w:w="150" w:type="dxa"/>
              <w:right w:w="240" w:type="dxa"/>
            </w:tcMar>
            <w:vAlign w:val="center"/>
          </w:tcPr>
          <w:p w14:paraId="353E930F">
            <w:r>
              <w:t>评审项目</w:t>
            </w:r>
          </w:p>
        </w:tc>
        <w:tc>
          <w:tcPr>
            <w:tcW w:w="0" w:type="auto"/>
            <w:tcMar>
              <w:top w:w="150" w:type="dxa"/>
              <w:left w:w="240" w:type="dxa"/>
              <w:bottom w:w="150" w:type="dxa"/>
              <w:right w:w="240" w:type="dxa"/>
            </w:tcMar>
            <w:vAlign w:val="center"/>
          </w:tcPr>
          <w:p w14:paraId="3C9C872F">
            <w:r>
              <w:t>分值</w:t>
            </w:r>
          </w:p>
        </w:tc>
        <w:tc>
          <w:tcPr>
            <w:tcW w:w="0" w:type="auto"/>
            <w:tcMar>
              <w:top w:w="150" w:type="dxa"/>
              <w:left w:w="240" w:type="dxa"/>
              <w:bottom w:w="150" w:type="dxa"/>
              <w:right w:w="240" w:type="dxa"/>
            </w:tcMar>
            <w:vAlign w:val="center"/>
          </w:tcPr>
          <w:p w14:paraId="5BFADCA8">
            <w:r>
              <w:t>评 分 标 准</w:t>
            </w:r>
          </w:p>
        </w:tc>
      </w:tr>
      <w:tr w14:paraId="16FF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4" w:type="dxa"/>
            <w:tcMar>
              <w:top w:w="150" w:type="dxa"/>
              <w:left w:w="0" w:type="dxa"/>
              <w:bottom w:w="150" w:type="dxa"/>
              <w:right w:w="240" w:type="dxa"/>
            </w:tcMar>
            <w:vAlign w:val="center"/>
          </w:tcPr>
          <w:p w14:paraId="2DE05FB4">
            <w:r>
              <w:rPr>
                <w:rFonts w:hint="eastAsia"/>
              </w:rPr>
              <w:t>1</w:t>
            </w:r>
          </w:p>
        </w:tc>
        <w:tc>
          <w:tcPr>
            <w:tcW w:w="1250" w:type="dxa"/>
            <w:tcMar>
              <w:top w:w="150" w:type="dxa"/>
              <w:left w:w="240" w:type="dxa"/>
              <w:bottom w:w="150" w:type="dxa"/>
              <w:right w:w="240" w:type="dxa"/>
            </w:tcMar>
            <w:vAlign w:val="center"/>
          </w:tcPr>
          <w:p w14:paraId="13C43710">
            <w:r>
              <w:rPr>
                <w:b/>
                <w:bCs/>
              </w:rPr>
              <w:t>项目实施与培训方案</w:t>
            </w:r>
          </w:p>
        </w:tc>
        <w:tc>
          <w:tcPr>
            <w:tcW w:w="0" w:type="auto"/>
            <w:tcMar>
              <w:top w:w="150" w:type="dxa"/>
              <w:left w:w="240" w:type="dxa"/>
              <w:bottom w:w="150" w:type="dxa"/>
              <w:right w:w="240" w:type="dxa"/>
            </w:tcMar>
            <w:vAlign w:val="center"/>
          </w:tcPr>
          <w:p w14:paraId="69811CE7">
            <w:r>
              <w:rPr>
                <w:rFonts w:hint="eastAsia"/>
                <w:b/>
                <w:bCs/>
              </w:rPr>
              <w:t>13</w:t>
            </w:r>
            <w:r>
              <w:rPr>
                <w:b/>
                <w:bCs/>
              </w:rPr>
              <w:t>分</w:t>
            </w:r>
          </w:p>
        </w:tc>
        <w:tc>
          <w:tcPr>
            <w:tcW w:w="0" w:type="auto"/>
            <w:tcMar>
              <w:top w:w="150" w:type="dxa"/>
              <w:left w:w="240" w:type="dxa"/>
              <w:bottom w:w="150" w:type="dxa"/>
              <w:right w:w="0" w:type="dxa"/>
            </w:tcMar>
            <w:vAlign w:val="center"/>
          </w:tcPr>
          <w:p w14:paraId="193EBDAF">
            <w:r>
              <w:t>根据投标人提供的项目实施方案（含</w:t>
            </w:r>
            <w:r>
              <w:rPr>
                <w:rFonts w:hint="eastAsia"/>
              </w:rPr>
              <w:t>系统培训方案</w:t>
            </w:r>
            <w:r>
              <w:t>、</w:t>
            </w:r>
            <w:r>
              <w:rPr>
                <w:rFonts w:hint="eastAsia"/>
              </w:rPr>
              <w:t>使用期间的支持</w:t>
            </w:r>
            <w:r>
              <w:t>、部署调试等）进行综合评审：</w:t>
            </w:r>
            <w:r>
              <w:br w:type="textWrapping"/>
            </w:r>
            <w:r>
              <w:t>- 方案详尽、科学、可行性强，得</w:t>
            </w:r>
            <w:r>
              <w:rPr>
                <w:rFonts w:hint="eastAsia"/>
              </w:rPr>
              <w:t>8＜F≤13</w:t>
            </w:r>
            <w:r>
              <w:t>分；</w:t>
            </w:r>
            <w:r>
              <w:br w:type="textWrapping"/>
            </w:r>
            <w:r>
              <w:t>- 方案较为详尽、可行性较强的，得</w:t>
            </w:r>
            <w:r>
              <w:rPr>
                <w:rFonts w:hint="eastAsia"/>
              </w:rPr>
              <w:t>4＜F≤8</w:t>
            </w:r>
            <w:r>
              <w:t>分；</w:t>
            </w:r>
            <w:r>
              <w:br w:type="textWrapping"/>
            </w:r>
            <w:r>
              <w:t>- 方案内容简单、可行性一般的，得</w:t>
            </w:r>
            <w:r>
              <w:rPr>
                <w:rFonts w:hint="eastAsia"/>
              </w:rPr>
              <w:t>0＜F≤4</w:t>
            </w:r>
            <w:r>
              <w:t>分；</w:t>
            </w:r>
            <w:r>
              <w:br w:type="textWrapping"/>
            </w:r>
            <w:r>
              <w:t>- 未提供或方案存在严重缺陷的，不得分。</w:t>
            </w:r>
          </w:p>
        </w:tc>
      </w:tr>
      <w:tr w14:paraId="0DD4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4" w:type="dxa"/>
            <w:tcMar>
              <w:top w:w="150" w:type="dxa"/>
              <w:left w:w="0" w:type="dxa"/>
              <w:bottom w:w="150" w:type="dxa"/>
              <w:right w:w="240" w:type="dxa"/>
            </w:tcMar>
            <w:vAlign w:val="center"/>
          </w:tcPr>
          <w:p w14:paraId="69D2785D">
            <w:r>
              <w:rPr>
                <w:rFonts w:hint="eastAsia"/>
              </w:rPr>
              <w:t>2</w:t>
            </w:r>
          </w:p>
        </w:tc>
        <w:tc>
          <w:tcPr>
            <w:tcW w:w="1250" w:type="dxa"/>
            <w:tcMar>
              <w:top w:w="150" w:type="dxa"/>
              <w:left w:w="240" w:type="dxa"/>
              <w:bottom w:w="150" w:type="dxa"/>
              <w:right w:w="240" w:type="dxa"/>
            </w:tcMar>
            <w:vAlign w:val="center"/>
          </w:tcPr>
          <w:p w14:paraId="4A60648C">
            <w:r>
              <w:rPr>
                <w:b/>
                <w:bCs/>
              </w:rPr>
              <w:t>售后服务与保障方案</w:t>
            </w:r>
          </w:p>
        </w:tc>
        <w:tc>
          <w:tcPr>
            <w:tcW w:w="0" w:type="auto"/>
            <w:tcMar>
              <w:top w:w="150" w:type="dxa"/>
              <w:left w:w="240" w:type="dxa"/>
              <w:bottom w:w="150" w:type="dxa"/>
              <w:right w:w="240" w:type="dxa"/>
            </w:tcMar>
            <w:vAlign w:val="center"/>
          </w:tcPr>
          <w:p w14:paraId="6EFE23C0">
            <w:r>
              <w:rPr>
                <w:rFonts w:hint="eastAsia"/>
                <w:b/>
                <w:bCs/>
              </w:rPr>
              <w:t>12</w:t>
            </w:r>
            <w:r>
              <w:rPr>
                <w:b/>
                <w:bCs/>
              </w:rPr>
              <w:t>分</w:t>
            </w:r>
          </w:p>
        </w:tc>
        <w:tc>
          <w:tcPr>
            <w:tcW w:w="0" w:type="auto"/>
            <w:tcMar>
              <w:top w:w="150" w:type="dxa"/>
              <w:left w:w="240" w:type="dxa"/>
              <w:bottom w:w="150" w:type="dxa"/>
              <w:right w:w="0" w:type="dxa"/>
            </w:tcMar>
            <w:vAlign w:val="center"/>
          </w:tcPr>
          <w:p w14:paraId="26AE753D">
            <w:r>
              <w:t>根据投标人提供的售后服务方案（含服务承诺、响应机制、免费维护期内服务内容</w:t>
            </w:r>
            <w:r>
              <w:rPr>
                <w:rFonts w:hint="eastAsia"/>
              </w:rPr>
              <w:t>（免费维护期为酒店正式开业第一次正式月结</w:t>
            </w:r>
            <w:r>
              <w:rPr>
                <w:rFonts w:hint="eastAsia"/>
                <w:lang w:val="en-US" w:eastAsia="zh-CN"/>
              </w:rPr>
              <w:t>之日起满一年</w:t>
            </w:r>
            <w:bookmarkStart w:id="0" w:name="_GoBack"/>
            <w:bookmarkEnd w:id="0"/>
            <w:r>
              <w:rPr>
                <w:rFonts w:hint="eastAsia"/>
              </w:rPr>
              <w:t>）</w:t>
            </w:r>
            <w:r>
              <w:t>、故障处理流程等）进行综合评审：</w:t>
            </w:r>
            <w:r>
              <w:br w:type="textWrapping"/>
            </w:r>
            <w:r>
              <w:t>- 方案完善、响应机制明确（如提供7x24小时支持、2小时内远程响应、24小时现场响应等）、保障措施有力的，得</w:t>
            </w:r>
            <w:r>
              <w:rPr>
                <w:rFonts w:hint="eastAsia"/>
              </w:rPr>
              <w:t>8＜F≤12</w:t>
            </w:r>
            <w:r>
              <w:t>分；</w:t>
            </w:r>
            <w:r>
              <w:br w:type="textWrapping"/>
            </w:r>
            <w:r>
              <w:t>- 方案较完善、响应机制较明确的，得</w:t>
            </w:r>
            <w:r>
              <w:rPr>
                <w:rFonts w:hint="eastAsia"/>
              </w:rPr>
              <w:t>4＜F≤8</w:t>
            </w:r>
            <w:r>
              <w:t>分；</w:t>
            </w:r>
            <w:r>
              <w:br w:type="textWrapping"/>
            </w:r>
            <w:r>
              <w:t>- 方案内容简单、保障措施一般的，得</w:t>
            </w:r>
            <w:r>
              <w:rPr>
                <w:rFonts w:hint="eastAsia"/>
              </w:rPr>
              <w:t>0＜F≤4</w:t>
            </w:r>
            <w:r>
              <w:t>分；</w:t>
            </w:r>
            <w:r>
              <w:br w:type="textWrapping"/>
            </w:r>
            <w:r>
              <w:t>- 未提供或方案存在严重缺陷的，不得分。</w:t>
            </w:r>
          </w:p>
        </w:tc>
      </w:tr>
    </w:tbl>
    <w:p w14:paraId="26CC31B7">
      <w:r>
        <w:rPr>
          <w:b/>
          <w:bCs/>
        </w:rPr>
        <w:t>4、评审结果</w:t>
      </w:r>
      <w:r>
        <w:br w:type="textWrapping"/>
      </w:r>
      <w:r>
        <w:t>4.1 经评审合格的投标文件，评标委员会按综合评审得分从高到低的顺序依次推荐</w:t>
      </w:r>
      <w:r>
        <w:rPr>
          <w:rFonts w:hint="eastAsia"/>
        </w:rPr>
        <w:t>1</w:t>
      </w:r>
      <w:r>
        <w:t>名中标候选人。排名第一的为首选中标候选人。</w:t>
      </w:r>
      <w:r>
        <w:br w:type="textWrapping"/>
      </w:r>
      <w:r>
        <w:t>4.2 评标委员会对拟推荐的中标单位候选人的信用状况进行查询，若被列入失信名单的，取消其资格并按顺序递补。</w:t>
      </w:r>
      <w:r>
        <w:br w:type="textWrapping"/>
      </w:r>
      <w:r>
        <w:t>4.3 评标委员会完成评标后，</w:t>
      </w:r>
      <w:r>
        <w:rPr>
          <w:rFonts w:hint="eastAsia"/>
        </w:rPr>
        <w:t>网站公示</w:t>
      </w:r>
      <w:r>
        <w:t>评标</w:t>
      </w:r>
      <w:r>
        <w:rPr>
          <w:rFonts w:hint="eastAsia"/>
        </w:rPr>
        <w:t>结果</w:t>
      </w:r>
      <w:r>
        <w:t>。</w:t>
      </w:r>
    </w:p>
    <w:p w14:paraId="029C077C">
      <w:r>
        <w:pict>
          <v:rect id="_x0000_i1025" o:spt="1" style="height:0.75pt;width:0pt;" fillcolor="#A0A0A0" filled="t" stroked="f" coordsize="21600,21600" o:hr="t" o:hrstd="t" o:hralign="center">
            <v:path/>
            <v:fill on="t" focussize="0,0"/>
            <v:stroke on="f"/>
            <v:imagedata o:title=""/>
            <o:lock v:ext="edit"/>
            <w10:wrap type="none"/>
            <w10:anchorlock/>
          </v:rect>
        </w:pic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AD5"/>
    <w:rsid w:val="00164AD5"/>
    <w:rsid w:val="00231700"/>
    <w:rsid w:val="002332C3"/>
    <w:rsid w:val="00356BEF"/>
    <w:rsid w:val="0045424E"/>
    <w:rsid w:val="00972E91"/>
    <w:rsid w:val="00A90D87"/>
    <w:rsid w:val="00FB57D4"/>
    <w:rsid w:val="00FD5151"/>
    <w:rsid w:val="02BA318B"/>
    <w:rsid w:val="05866BA1"/>
    <w:rsid w:val="18DE09B8"/>
    <w:rsid w:val="1B7B3422"/>
    <w:rsid w:val="23341184"/>
    <w:rsid w:val="2B567C54"/>
    <w:rsid w:val="2BA50810"/>
    <w:rsid w:val="2CD05AAE"/>
    <w:rsid w:val="47C615D0"/>
    <w:rsid w:val="480B478C"/>
    <w:rsid w:val="4E400C08"/>
    <w:rsid w:val="54D36BD5"/>
    <w:rsid w:val="5BE56F7A"/>
    <w:rsid w:val="5C0E5D41"/>
    <w:rsid w:val="60042279"/>
    <w:rsid w:val="69DB133C"/>
    <w:rsid w:val="6B2510AC"/>
    <w:rsid w:val="6DE6607C"/>
    <w:rsid w:val="6E54518C"/>
    <w:rsid w:val="74AC547F"/>
    <w:rsid w:val="7A5E1AFB"/>
    <w:rsid w:val="7B771275"/>
    <w:rsid w:val="7DE87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style>
  <w:style w:type="paragraph" w:styleId="12">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paragraph" w:customStyle="1" w:styleId="38">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1026</Words>
  <Characters>1090</Characters>
  <Lines>50</Lines>
  <Paragraphs>35</Paragraphs>
  <TotalTime>3</TotalTime>
  <ScaleCrop>false</ScaleCrop>
  <LinksUpToDate>false</LinksUpToDate>
  <CharactersWithSpaces>1115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2025-10-17T09:00:00Z</dcterms:created>
  <dc:creator>Hou, Jane</dc:creator>
  <cp:lastModifiedBy>Ge.lei</cp:lastModifiedBy>
  <dcterms:modified xsi:type="dcterms:W3CDTF">2025-12-29T00:39:49Z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eyJoZGlkIjoiMTUzOTQ5MDA1ZjgwNDNhYmE5ODUzYzEwYTMyOGI3NzkiLCJ1c2VySWQiOiI1ODg4ODQyNzkifQ==</vt:lpwstr>
  </property>
  <property fmtid="{D5CDD505-2E9C-101B-9397-08002B2CF9AE}" pid="3" name="KSOProductBuildVer">
    <vt:lpwstr>2052-12.1.0.24034</vt:lpwstr>
  </property>
  <property fmtid="{D5CDD505-2E9C-101B-9397-08002B2CF9AE}" pid="4" name="ICV">
    <vt:lpwstr>4BEDEEA7A29344B19EA3CC0808912F26_13</vt:lpwstr>
  </property>
</Properties>
</file>