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评分细则</w:t>
      </w:r>
    </w:p>
    <w:p>
      <w:pPr>
        <w:spacing w:line="5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（数值计算结果均保留两位小数，第三位四舍五入）</w:t>
      </w:r>
    </w:p>
    <w:p>
      <w:pPr>
        <w:spacing w:line="5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1、评审分值分布(满分100分)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1.1商务部分（</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1.2技术部分（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p>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2、评审标准</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2.1商务标评审内容及标准（</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分）</w:t>
      </w:r>
    </w:p>
    <w:tbl>
      <w:tblPr>
        <w:tblStyle w:val="2"/>
        <w:tblW w:w="0" w:type="auto"/>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589"/>
        <w:gridCol w:w="718"/>
        <w:gridCol w:w="723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rPr>
              <w:t>评审项目</w:t>
            </w:r>
          </w:p>
        </w:tc>
        <w:tc>
          <w:tcPr>
            <w:tcW w:w="718"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rPr>
              <w:t>分值</w:t>
            </w:r>
          </w:p>
        </w:tc>
        <w:tc>
          <w:tcPr>
            <w:tcW w:w="7234"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sz w:val="21"/>
                <w:szCs w:val="21"/>
              </w:rPr>
            </w:pPr>
            <w:r>
              <w:rPr>
                <w:rFonts w:ascii="仿宋" w:hAnsi="仿宋" w:eastAsia="仿宋" w:cs="仿宋"/>
                <w:color w:val="000000"/>
                <w:kern w:val="0"/>
                <w:sz w:val="21"/>
                <w:szCs w:val="21"/>
                <w:lang w:val="en-US" w:eastAsia="zh-CN" w:bidi="ar"/>
              </w:rPr>
              <w:t xml:space="preserve">报价（供应商提 </w:t>
            </w:r>
          </w:p>
          <w:p>
            <w:pPr>
              <w:keepNext w:val="0"/>
              <w:keepLines w:val="0"/>
              <w:widowControl/>
              <w:suppressLineNumbers w:val="0"/>
              <w:jc w:val="left"/>
              <w:rPr>
                <w:sz w:val="21"/>
                <w:szCs w:val="21"/>
              </w:rPr>
            </w:pPr>
            <w:r>
              <w:rPr>
                <w:rFonts w:hint="eastAsia" w:ascii="仿宋" w:hAnsi="仿宋" w:eastAsia="仿宋" w:cs="仿宋"/>
                <w:color w:val="000000"/>
                <w:kern w:val="0"/>
                <w:sz w:val="21"/>
                <w:szCs w:val="21"/>
                <w:lang w:val="en-US" w:eastAsia="zh-CN" w:bidi="ar"/>
              </w:rPr>
              <w:t>交的最后报价）</w:t>
            </w:r>
          </w:p>
          <w:p>
            <w:pPr>
              <w:jc w:val="left"/>
              <w:rPr>
                <w:rFonts w:hint="eastAsia" w:ascii="仿宋" w:hAnsi="仿宋" w:eastAsia="仿宋" w:cs="仿宋"/>
                <w:color w:val="auto"/>
                <w:sz w:val="21"/>
                <w:szCs w:val="21"/>
                <w:highlight w:val="none"/>
              </w:rPr>
            </w:pPr>
          </w:p>
        </w:tc>
        <w:tc>
          <w:tcPr>
            <w:tcW w:w="718"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w:t>
            </w:r>
          </w:p>
        </w:tc>
        <w:tc>
          <w:tcPr>
            <w:tcW w:w="72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本项评审步骤：</w:t>
            </w:r>
          </w:p>
          <w:p>
            <w:pPr>
              <w:keepNext w:val="0"/>
              <w:keepLines w:val="0"/>
              <w:widowControl/>
              <w:suppressLineNumbers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1、评标报价的确认：评标报价委员会对所有实质性响应招标文件要求的投标报价进行核查，根据本招标文件规定的政府采购政策进行的价格扣除。</w:t>
            </w:r>
          </w:p>
          <w:p>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 价格核查： 投标文件报价出现前后不一致的，按照下列规定修正： ①投标文件中开标一览表（报价表）内容与投标文件中相应内容不一致的，以开标一览表（报价表）为准； ②大写金额和小写金额不一致的，以大写金额为准； ③单价金额小数点或者百分比有明显错位的，以开标一览表的总价为准，并修改单价； ④总价金额与按单价汇总金额不一致的，以单价金额计算结果为准。 同时出现两种以上不一致的，按照前款规定的顺序修正。修正后的报价按照规定经投标人确认后产生约束力，投标人不确认的，其投标无效。 如供应商对招标文件的内容，特别是对招标范围的理解发生误差，有子项漏报的（即该供应商投标报价为漏项报价），视作已含在其他项目的报价中；如投标人报价多于招标范围的，不予核减； </w:t>
            </w:r>
          </w:p>
          <w:p>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 价格扣除：按招标文件规定的价格扣除办法计算其评标价。</w:t>
            </w:r>
          </w:p>
          <w:p>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2、评标基准价：评标价均价为评标基准价。</w:t>
            </w:r>
          </w:p>
          <w:p>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3、投标报价得分计算：评标价为评标基准价的得满分20分。其他投标人的投标报价得分统一按下列公式计算：投标报价得分=20-|偏差率| *100*1。 </w:t>
            </w:r>
          </w:p>
          <w:p>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偏差率=100%×（投标报价-评标基准价）/评标基准价。</w:t>
            </w:r>
          </w:p>
          <w:p>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val="en-US" w:eastAsia="zh-CN" w:bidi="ar"/>
              </w:rPr>
              <w:t>投标报价比评标基准价每提高或降低1%，扣1分，扣完为止。区间内的按线性插入法得分。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仿宋" w:hAnsi="仿宋" w:eastAsia="仿宋" w:cs="仿宋"/>
                <w:color w:val="auto"/>
                <w:highlight w:val="none"/>
              </w:rPr>
            </w:pPr>
            <w:r>
              <w:rPr>
                <w:rFonts w:ascii="仿宋" w:hAnsi="仿宋" w:eastAsia="仿宋" w:cs="仿宋"/>
                <w:color w:val="000000"/>
                <w:kern w:val="0"/>
                <w:sz w:val="20"/>
                <w:szCs w:val="20"/>
                <w:lang w:val="en-US" w:eastAsia="zh-CN" w:bidi="ar"/>
              </w:rPr>
              <w:t>供应商业绩</w:t>
            </w:r>
          </w:p>
        </w:tc>
        <w:tc>
          <w:tcPr>
            <w:tcW w:w="718"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分</w:t>
            </w:r>
          </w:p>
        </w:tc>
        <w:tc>
          <w:tcPr>
            <w:tcW w:w="72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 xml:space="preserve">供应商具备类似项目业绩的，提供业绩合同，有一项加 </w:t>
            </w:r>
            <w:r>
              <w:rPr>
                <w:rFonts w:hint="eastAsia" w:ascii="仿宋" w:hAnsi="仿宋" w:eastAsia="仿宋" w:cs="仿宋"/>
                <w:color w:val="000000"/>
                <w:kern w:val="0"/>
                <w:sz w:val="21"/>
                <w:szCs w:val="21"/>
                <w:highlight w:val="none"/>
                <w:u w:val="single"/>
                <w:lang w:val="en-US" w:eastAsia="zh-CN" w:bidi="ar"/>
              </w:rPr>
              <w:t xml:space="preserve">2 </w:t>
            </w:r>
            <w:r>
              <w:rPr>
                <w:rFonts w:hint="eastAsia" w:ascii="仿宋" w:hAnsi="仿宋" w:eastAsia="仿宋" w:cs="仿宋"/>
                <w:color w:val="000000"/>
                <w:kern w:val="0"/>
                <w:sz w:val="21"/>
                <w:szCs w:val="21"/>
                <w:highlight w:val="none"/>
                <w:lang w:val="en-US" w:eastAsia="zh-CN" w:bidi="ar"/>
              </w:rPr>
              <w:t>分，本项加满为止。</w:t>
            </w:r>
          </w:p>
          <w:p>
            <w:pPr>
              <w:keepNext w:val="0"/>
              <w:keepLines w:val="0"/>
              <w:widowControl/>
              <w:suppressLineNumbers w:val="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类似项目业绩指：园区类综合改造初步设计项目。</w:t>
            </w:r>
            <w:bookmarkStart w:id="0" w:name="_GoBack"/>
            <w:bookmarkEnd w:id="0"/>
          </w:p>
          <w:p>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000000"/>
                <w:kern w:val="0"/>
                <w:sz w:val="21"/>
                <w:szCs w:val="21"/>
                <w:highlight w:val="none"/>
                <w:lang w:val="en-US" w:eastAsia="zh-CN" w:bidi="ar"/>
              </w:rPr>
              <w:t>（响应文件中须提供业绩合同，扫描件应能辨识买卖双方公章或合同章、标的信息；如业绩合同不能体现以上全部内容，可提供业绩合同甲方盖公章的证明扫描件。否则，不得分。供应商与其关联公司（单位负责人为同一人或者存在直接控股、管理关系的不同供应商）之间签订的合同，均不予认可。）</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项目负责人业绩</w:t>
            </w:r>
          </w:p>
          <w:p>
            <w:pPr>
              <w:keepNext w:val="0"/>
              <w:keepLines w:val="0"/>
              <w:widowControl/>
              <w:suppressLineNumbers w:val="0"/>
              <w:jc w:val="left"/>
              <w:rPr>
                <w:rFonts w:ascii="仿宋" w:hAnsi="仿宋" w:eastAsia="仿宋" w:cs="仿宋"/>
                <w:color w:val="000000"/>
                <w:kern w:val="0"/>
                <w:sz w:val="20"/>
                <w:szCs w:val="20"/>
                <w:lang w:val="en-US" w:eastAsia="zh-CN" w:bidi="ar"/>
              </w:rPr>
            </w:pPr>
          </w:p>
        </w:tc>
        <w:tc>
          <w:tcPr>
            <w:tcW w:w="718"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10分</w:t>
            </w:r>
          </w:p>
        </w:tc>
        <w:tc>
          <w:tcPr>
            <w:tcW w:w="72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 xml:space="preserve">供应商具备类似项目业绩的，提供业绩合同，有一项加 </w:t>
            </w:r>
            <w:r>
              <w:rPr>
                <w:rFonts w:hint="eastAsia" w:ascii="仿宋" w:hAnsi="仿宋" w:eastAsia="仿宋" w:cs="仿宋"/>
                <w:color w:val="000000"/>
                <w:kern w:val="0"/>
                <w:sz w:val="21"/>
                <w:szCs w:val="21"/>
                <w:highlight w:val="none"/>
                <w:u w:val="single"/>
                <w:lang w:val="en-US" w:eastAsia="zh-CN" w:bidi="ar"/>
              </w:rPr>
              <w:t>2</w:t>
            </w:r>
            <w:r>
              <w:rPr>
                <w:rFonts w:hint="eastAsia" w:ascii="仿宋" w:hAnsi="仿宋" w:eastAsia="仿宋" w:cs="仿宋"/>
                <w:color w:val="000000"/>
                <w:kern w:val="0"/>
                <w:sz w:val="21"/>
                <w:szCs w:val="21"/>
                <w:highlight w:val="none"/>
                <w:lang w:val="en-US" w:eastAsia="zh-CN" w:bidi="ar"/>
              </w:rPr>
              <w:t>分，本项加满为止。</w:t>
            </w:r>
          </w:p>
          <w:p>
            <w:pPr>
              <w:keepNext w:val="0"/>
              <w:keepLines w:val="0"/>
              <w:widowControl/>
              <w:suppressLineNumbers w:val="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类似项目业绩指：园区类综合改造初步设计项目。需以项目负责人身份参加否则不予认可。</w:t>
            </w:r>
          </w:p>
          <w:p>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项目负责人业绩可与投标人类似项目业绩重复加分。 </w:t>
            </w:r>
          </w:p>
          <w:p>
            <w:pPr>
              <w:keepNext w:val="0"/>
              <w:keepLines w:val="0"/>
              <w:widowControl/>
              <w:suppressLineNumbers w:val="0"/>
              <w:jc w:val="left"/>
              <w:rPr>
                <w:rFonts w:hint="eastAsia" w:ascii="仿宋" w:hAnsi="仿宋" w:eastAsia="仿宋" w:cs="仿宋"/>
                <w:b/>
                <w:bCs/>
                <w:color w:val="000000"/>
                <w:kern w:val="0"/>
                <w:sz w:val="21"/>
                <w:szCs w:val="21"/>
                <w:highlight w:val="none"/>
                <w:u w:val="single"/>
                <w:lang w:val="en-US" w:eastAsia="zh-CN" w:bidi="ar"/>
              </w:rPr>
            </w:pPr>
            <w:r>
              <w:rPr>
                <w:rFonts w:hint="eastAsia" w:ascii="仿宋" w:hAnsi="仿宋" w:eastAsia="仿宋" w:cs="仿宋"/>
                <w:color w:val="000000"/>
                <w:kern w:val="0"/>
                <w:sz w:val="21"/>
                <w:szCs w:val="21"/>
                <w:highlight w:val="none"/>
                <w:lang w:val="en-US" w:eastAsia="zh-CN" w:bidi="ar"/>
              </w:rPr>
              <w:t>（投标文件中须提供业绩合同，扫描件应能辨识买卖双方公章或合同章、标的信息；如业绩合同不能体现以上全部内容，可提供业绩合同甲方盖公章的证明扫描件。否则，不得分。投标供应商与其关联公司（单位负责人为同一人或者存在直接控股、管理关系的不同供应商）之间签订的合同，均不予认可。）</w:t>
            </w:r>
          </w:p>
        </w:tc>
      </w:tr>
    </w:tbl>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2.2技术标评审内容及标准（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tbl>
      <w:tblPr>
        <w:tblStyle w:val="5"/>
        <w:tblW w:w="98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744"/>
        <w:gridCol w:w="7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568" w:type="dxa"/>
            <w:noWrap w:val="0"/>
            <w:vAlign w:val="center"/>
          </w:tcPr>
          <w:p>
            <w:pPr>
              <w:pStyle w:val="4"/>
              <w:autoSpaceDE w:val="0"/>
              <w:autoSpaceDN w:val="0"/>
              <w:spacing w:before="55" w:line="231" w:lineRule="auto"/>
              <w:ind w:left="12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评审项目</w:t>
            </w:r>
          </w:p>
        </w:tc>
        <w:tc>
          <w:tcPr>
            <w:tcW w:w="744" w:type="dxa"/>
            <w:noWrap w:val="0"/>
            <w:vAlign w:val="center"/>
          </w:tcPr>
          <w:p>
            <w:pPr>
              <w:pStyle w:val="4"/>
              <w:autoSpaceDE w:val="0"/>
              <w:autoSpaceDN w:val="0"/>
              <w:spacing w:before="54" w:line="232" w:lineRule="auto"/>
              <w:ind w:left="67"/>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分值</w:t>
            </w:r>
          </w:p>
        </w:tc>
        <w:tc>
          <w:tcPr>
            <w:tcW w:w="7551" w:type="dxa"/>
            <w:noWrap w:val="0"/>
            <w:vAlign w:val="center"/>
          </w:tcPr>
          <w:p>
            <w:pPr>
              <w:pStyle w:val="4"/>
              <w:autoSpaceDE w:val="0"/>
              <w:autoSpaceDN w:val="0"/>
              <w:spacing w:before="55" w:line="231"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1568" w:type="dxa"/>
            <w:tcBorders>
              <w:bottom w:val="nil"/>
            </w:tcBorders>
            <w:noWrap w:val="0"/>
            <w:vAlign w:val="center"/>
          </w:tcPr>
          <w:p>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总体设计思路</w:t>
            </w:r>
          </w:p>
        </w:tc>
        <w:tc>
          <w:tcPr>
            <w:tcW w:w="744" w:type="dxa"/>
            <w:tcBorders>
              <w:bottom w:val="nil"/>
            </w:tcBorders>
            <w:noWrap w:val="0"/>
            <w:vAlign w:val="center"/>
          </w:tcPr>
          <w:p>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30分</w:t>
            </w:r>
          </w:p>
        </w:tc>
        <w:tc>
          <w:tcPr>
            <w:tcW w:w="7551" w:type="dxa"/>
            <w:noWrap w:val="0"/>
            <w:vAlign w:val="top"/>
          </w:tcPr>
          <w:p>
            <w:pPr>
              <w:keepNext w:val="0"/>
              <w:keepLines w:val="0"/>
              <w:widowControl/>
              <w:suppressLineNumbers w:val="0"/>
              <w:autoSpaceDE w:val="0"/>
              <w:autoSpaceDN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阐述对项目现状及环境的认识、设计指导思想与理念。</w:t>
            </w:r>
          </w:p>
          <w:p>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（1）现状分析全面、完整，设计思路有针对性的得 28-30 分；</w:t>
            </w:r>
          </w:p>
          <w:p>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（2）现状分析较全面、较完整，设计思路有针对性的得 25-27 分；</w:t>
            </w:r>
          </w:p>
          <w:p>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（3）现状分析基本全面、基本完整，满足采购需求的，得 21-24 分。</w:t>
            </w:r>
          </w:p>
          <w:p>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（4）未提供或不满足项目要求的不得分。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1568" w:type="dxa"/>
            <w:noWrap w:val="0"/>
            <w:vAlign w:val="center"/>
          </w:tcPr>
          <w:p>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重点及难点分析</w:t>
            </w:r>
          </w:p>
        </w:tc>
        <w:tc>
          <w:tcPr>
            <w:tcW w:w="744" w:type="dxa"/>
            <w:noWrap w:val="0"/>
            <w:vAlign w:val="center"/>
          </w:tcPr>
          <w:p>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30分</w:t>
            </w:r>
          </w:p>
        </w:tc>
        <w:tc>
          <w:tcPr>
            <w:tcW w:w="7551" w:type="dxa"/>
            <w:noWrap w:val="0"/>
            <w:vAlign w:val="top"/>
          </w:tcPr>
          <w:p>
            <w:pPr>
              <w:keepNext w:val="0"/>
              <w:keepLines w:val="0"/>
              <w:widowControl/>
              <w:suppressLineNumbers w:val="0"/>
              <w:autoSpaceDE w:val="0"/>
              <w:autoSpaceDN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根据本项目特点提供工作重点分析和应对方案。</w:t>
            </w:r>
          </w:p>
          <w:p>
            <w:pPr>
              <w:keepNext w:val="0"/>
              <w:keepLines w:val="0"/>
              <w:widowControl/>
              <w:numPr>
                <w:ilvl w:val="0"/>
                <w:numId w:val="1"/>
              </w:numPr>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对工作的重点分析与理解全面、合理、准确、透彻，应对方案可操作性强，得13-15分； </w:t>
            </w:r>
          </w:p>
          <w:p>
            <w:pPr>
              <w:keepNext w:val="0"/>
              <w:keepLines w:val="0"/>
              <w:widowControl/>
              <w:numPr>
                <w:ilvl w:val="0"/>
                <w:numId w:val="0"/>
              </w:numPr>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（2）对工作的重点分析与理解较为全面、合理，应对方案有一定的可操作性的，得10-12分；</w:t>
            </w:r>
          </w:p>
          <w:p>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（3）对工作的重点分析与理解基本全面、合理，应对方案有待提升完善的，得7-9分； </w:t>
            </w:r>
          </w:p>
          <w:p>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（4）未提供或不满足项目要求的不得分。</w:t>
            </w:r>
          </w:p>
          <w:p>
            <w:pPr>
              <w:keepNext w:val="0"/>
              <w:keepLines w:val="0"/>
              <w:widowControl/>
              <w:suppressLineNumbers w:val="0"/>
              <w:autoSpaceDE w:val="0"/>
              <w:autoSpaceDN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根据本项目特点提供工作难点分析和应对方案。</w:t>
            </w:r>
          </w:p>
          <w:p>
            <w:pPr>
              <w:keepNext w:val="0"/>
              <w:keepLines w:val="0"/>
              <w:widowControl/>
              <w:numPr>
                <w:ilvl w:val="0"/>
                <w:numId w:val="2"/>
              </w:numPr>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对工作的难点分析与理解全面、合理、准确、透彻，应对方案可操作性强，得13-15分； </w:t>
            </w:r>
          </w:p>
          <w:p>
            <w:pPr>
              <w:keepNext w:val="0"/>
              <w:keepLines w:val="0"/>
              <w:widowControl/>
              <w:numPr>
                <w:ilvl w:val="0"/>
                <w:numId w:val="0"/>
              </w:numPr>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（2）对工作的难点分析与理解较为全面、合理，应对方案有一定的可操作性的，得10-12分；</w:t>
            </w:r>
          </w:p>
          <w:p>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（3）对工作的难点分析与理解基本全面、合理，应对方案有待提升完善的，得7-9分； </w:t>
            </w:r>
          </w:p>
          <w:p>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（4）未提供或不满足项目要求的不得分。</w:t>
            </w:r>
          </w:p>
        </w:tc>
      </w:tr>
    </w:tbl>
    <w:p>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r>
        <w:rPr>
          <w:rFonts w:hint="eastAsia" w:ascii="仿宋" w:hAnsi="仿宋" w:eastAsia="仿宋" w:cs="仿宋"/>
          <w:color w:val="auto"/>
          <w:sz w:val="24"/>
          <w:highlight w:val="none"/>
          <w:lang w:val="en-US" w:eastAsia="zh-CN"/>
        </w:rPr>
        <w:t>评标</w:t>
      </w:r>
      <w:r>
        <w:rPr>
          <w:rFonts w:hint="eastAsia" w:ascii="仿宋" w:hAnsi="仿宋" w:eastAsia="仿宋" w:cs="仿宋"/>
          <w:color w:val="auto"/>
          <w:sz w:val="24"/>
          <w:highlight w:val="none"/>
        </w:rPr>
        <w:t xml:space="preserve">小组成员对“技术部分”合计分超出其他成员平均值±50%时，须写明评分依据及理由。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D478A"/>
    <w:multiLevelType w:val="singleLevel"/>
    <w:tmpl w:val="A08D478A"/>
    <w:lvl w:ilvl="0" w:tentative="0">
      <w:start w:val="1"/>
      <w:numFmt w:val="decimal"/>
      <w:suff w:val="nothing"/>
      <w:lvlText w:val="（%1）"/>
      <w:lvlJc w:val="left"/>
    </w:lvl>
  </w:abstractNum>
  <w:abstractNum w:abstractNumId="1">
    <w:nsid w:val="CA02D061"/>
    <w:multiLevelType w:val="singleLevel"/>
    <w:tmpl w:val="CA02D06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86FB1"/>
    <w:rsid w:val="70CD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仿宋" w:hAnsi="仿宋" w:eastAsia="仿宋" w:cs="仿宋"/>
      <w:sz w:val="24"/>
      <w:szCs w:val="24"/>
      <w:lang w:val="en-US" w:eastAsia="en-US" w:bidi="ar-SA"/>
    </w:rPr>
  </w:style>
  <w:style w:type="table" w:customStyle="1" w:styleId="5">
    <w:name w:val="Table Normal"/>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2024-02-07T02:24:00Z</dcterms:created>
  <dc:creator>pengji</dc:creator>
  <cp:lastModifiedBy>小彭</cp:lastModifiedBy>
  <cp:lastPrinted>2024-02-07T07:10:12Z</cp:lastPrinted>
  <dcterms:modified xsi:type="dcterms:W3CDTF">2024-02-07T07:50:23Z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